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90" w:x="8994" w:y="113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imSun" w:hAnsi="SimSun" w:cs="SimSun"/>
          <w:color w:val="808080"/>
          <w:spacing w:val="0"/>
          <w:sz w:val="18"/>
        </w:rPr>
        <w:t>精心打造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78" w:x="6042" w:y="2652"/>
        <w:widowControl w:val="off"/>
        <w:autoSpaceDE w:val="off"/>
        <w:autoSpaceDN w:val="off"/>
        <w:spacing w:before="0" w:after="0" w:line="659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物业维修基金管理制度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2635" w:x="3431" w:y="4769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一、范围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3551" w:x="3305" w:y="578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本制度适用于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XXX</w:t>
      </w:r>
      <w:r>
        <w:rPr>
          <w:rFonts w:ascii="Times New Roman"/>
          <w:color w:val="000000"/>
          <w:spacing w:val="-6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物业管理公司管理区域的物业维修基金管理。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550" w:x="3431" w:y="7578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二、维修基金筹集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6093" w:x="2467" w:y="8591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4"/>
          <w:sz w:val="42"/>
        </w:rPr>
        <w:t>1.动迁房维修基金筹集，按规定由房租收入的</w:t>
      </w:r>
      <w:r>
        <w:rPr>
          <w:rFonts w:ascii="Times New Roman"/>
          <w:color w:val="000000"/>
          <w:spacing w:val="-8"/>
          <w:sz w:val="42"/>
        </w:rPr>
        <w:t xml:space="preserve"> </w:t>
      </w:r>
      <w:r>
        <w:rPr>
          <w:rFonts w:ascii="SimSun" w:hAnsi="SimSun" w:cs="SimSun"/>
          <w:color w:val="000000"/>
          <w:spacing w:val="-7"/>
          <w:sz w:val="42"/>
        </w:rPr>
        <w:t>60%中提取，并专项管理。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093" w:x="2467" w:y="8591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2"/>
          <w:sz w:val="42"/>
        </w:rPr>
        <w:t>2.商品房维修基金筹集，按规定由开发商和业主在办理产权证时交入政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6093" w:x="2467" w:y="859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府主管部门指定帐户或业委会开立的维修基金专户。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500" w:x="3305" w:y="1139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3.按规定，维修基金利息及停车管理净收益应归入维修基金专户。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500" w:x="3305" w:y="1139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9"/>
          <w:sz w:val="42"/>
        </w:rPr>
        <w:t>4.维修基金不足时，可由管理处编制筹集方案报业委会，由业委会征集。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550" w:x="3431" w:y="14131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三、维修基金使用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5845" w:x="2467" w:y="15144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1.维修基金应严格按照有关法规规定的范围使用，不准许挪作他用。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845" w:x="2467" w:y="15144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3"/>
          <w:sz w:val="42"/>
        </w:rPr>
        <w:t>2.日常维修费的使用应按规定报业委会批准后再报公司审批，经总经理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845" w:x="2467" w:y="1514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或授权代理人批准后方可使用。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0" w:x="2467" w:y="17952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3.对于电梯、污水处理、空调系统等比较大的维修项目，应签订合同，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0" w:x="2467" w:y="17952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并报公司审批同意后实施。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2467" w:y="19825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4.中修、大修或更新项目在年度计划中立项，应编制项目预算书，选定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2467" w:y="1982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施工单位，订立工程施工合同，报公司审批，同时报业主委员会审批。经公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2467" w:y="1982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司、业主会批准同意后，应由业委会与施工单位订立工程合同。若由物业公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38" w:x="9456" w:y="23156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YouYuan"/>
          <w:color w:val="000000"/>
          <w:spacing w:val="0"/>
          <w:sz w:val="32"/>
        </w:rPr>
        <w:t>1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630" w:x="9095" w:y="2337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imSun" w:hAnsi="SimSun" w:cs="SimSun"/>
          <w:color w:val="808080"/>
          <w:spacing w:val="0"/>
          <w:sz w:val="18"/>
        </w:rPr>
        <w:t>未来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120pt;margin-top:58.35pt;z-index:-3;width:697pt;height: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90" w:x="8994" w:y="1135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imSun" w:hAnsi="SimSun" w:cs="SimSun"/>
          <w:color w:val="808080"/>
          <w:spacing w:val="0"/>
          <w:sz w:val="18"/>
        </w:rPr>
        <w:t>精心打造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985" w:x="2467" w:y="2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司与施工单位订立工程合同，应由业委会出具委托书，并写明工程的支付约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2467" w:y="203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定，按合同规定经业委会正、副主任签字和公司总经理签字认可后从维修基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985" w:x="2467" w:y="203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金中支付。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550" w:x="3431" w:y="5705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四、维修基金核算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5846" w:x="2467" w:y="6718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1.按规定维修基金应按幢、按门牌号立账，按单元立分户账。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846" w:x="2467" w:y="6718"/>
        <w:widowControl w:val="off"/>
        <w:autoSpaceDE w:val="off"/>
        <w:autoSpaceDN w:val="off"/>
        <w:spacing w:before="516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3"/>
          <w:sz w:val="42"/>
        </w:rPr>
        <w:t>2.维修费用由管理处或公司按政府有关规定分摊到户，如政府机关部门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846" w:x="2467" w:y="671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实行会计电算化的，则由管理处进行分摊，并报维修基金管理中心核算。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846" w:x="2467" w:y="6718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3.维修基金收、支、积余情况按规定每半年公布一次。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846" w:x="2467" w:y="671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4.管理处应将每年的维修基金筹集、使用及分摊情况年终结算后归档。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38" w:x="9456" w:y="23156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YouYuan"/>
          <w:color w:val="000000"/>
          <w:spacing w:val="0"/>
          <w:sz w:val="32"/>
        </w:rPr>
        <w:t>2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630" w:x="9095" w:y="23378"/>
        <w:widowControl w:val="off"/>
        <w:autoSpaceDE w:val="off"/>
        <w:autoSpaceDN w:val="off"/>
        <w:spacing w:before="0" w:after="0" w:line="18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imSun" w:hAnsi="SimSun" w:cs="SimSun"/>
          <w:color w:val="808080"/>
          <w:spacing w:val="0"/>
          <w:sz w:val="18"/>
        </w:rPr>
        <w:t>未来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120pt;margin-top:58.35pt;z-index:-7;width:697pt;height: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YouYua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image" Target="media/image2.jpeg" /><Relationship Id="rId3" Type="http://schemas.openxmlformats.org/officeDocument/2006/relationships/styles" Target="styles.xml" /><Relationship Id="rId4" Type="http://schemas.openxmlformats.org/officeDocument/2006/relationships/fontTable" Target="fontTable.xml" /><Relationship Id="rId5" Type="http://schemas.openxmlformats.org/officeDocument/2006/relationships/settings" Target="settings.xml" /><Relationship Id="rId6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2</Pages>
  <Words>36</Words>
  <Characters>672</Characters>
  <Application>Aspose</Application>
  <DocSecurity>0</DocSecurity>
  <Lines>33</Lines>
  <Paragraphs>33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675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ASUS</dc:creator>
  <lastModifiedBy>ASUS</lastModifiedBy>
  <revision>1</revision>
  <dcterms:created xmlns:xsi="http://www.w3.org/2001/XMLSchema-instance" xmlns:dcterms="http://purl.org/dc/terms/" xsi:type="dcterms:W3CDTF">2021-12-09T15:45:52+08:00</dcterms:created>
  <dcterms:modified xmlns:xsi="http://www.w3.org/2001/XMLSchema-instance" xmlns:dcterms="http://purl.org/dc/terms/" xsi:type="dcterms:W3CDTF">2021-12-09T15:45:52+08:00</dcterms:modified>
</coreProperties>
</file>